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FA" w:rsidRPr="004051B0" w:rsidRDefault="007D65B8" w:rsidP="00BA20FA">
      <w:pPr>
        <w:rPr>
          <w:rFonts w:ascii="Georgia" w:hAnsi="Georgia"/>
        </w:rPr>
      </w:pPr>
      <w:r w:rsidRPr="007D65B8">
        <w:rPr>
          <w:rFonts w:ascii="Georgia" w:hAnsi="Georgia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4pt;margin-top:-54.75pt;width:3in;height:90.75pt;z-index:251661312;mso-wrap-edited:f;mso-wrap-distance-left:0" wrapcoords="0 0 21600 0 21600 21600 0 21600 0 0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250"/>
                    <w:gridCol w:w="1890"/>
                  </w:tblGrid>
                  <w:tr w:rsidR="00BA20FA" w:rsidRPr="004051B0">
                    <w:tc>
                      <w:tcPr>
                        <w:tcW w:w="2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A20FA" w:rsidRPr="004051B0" w:rsidRDefault="00BA20FA" w:rsidP="00614826">
                        <w:pPr>
                          <w:snapToGrid w:val="0"/>
                          <w:spacing w:before="120" w:after="120"/>
                          <w:rPr>
                            <w:rFonts w:ascii="Georgia" w:hAnsi="Georgia"/>
                            <w:sz w:val="20"/>
                          </w:rPr>
                        </w:pPr>
                        <w:r w:rsidRPr="004051B0">
                          <w:rPr>
                            <w:rFonts w:ascii="Georgia" w:hAnsi="Georgia"/>
                            <w:sz w:val="20"/>
                          </w:rPr>
                          <w:t>Originally Presented On</w:t>
                        </w:r>
                      </w:p>
                    </w:tc>
                    <w:tc>
                      <w:tcPr>
                        <w:tcW w:w="1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20FA" w:rsidRPr="004051B0" w:rsidRDefault="00BA20FA" w:rsidP="00614826">
                        <w:pPr>
                          <w:snapToGrid w:val="0"/>
                          <w:spacing w:before="120" w:after="120"/>
                          <w:rPr>
                            <w:rFonts w:ascii="Georgia" w:hAnsi="Georgia" w:cs="Times"/>
                            <w:sz w:val="20"/>
                            <w:szCs w:val="28"/>
                          </w:rPr>
                        </w:pPr>
                      </w:p>
                    </w:tc>
                  </w:tr>
                  <w:tr w:rsidR="00BA20FA" w:rsidRPr="004051B0">
                    <w:tc>
                      <w:tcPr>
                        <w:tcW w:w="2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A20FA" w:rsidRPr="004051B0" w:rsidRDefault="00BA20FA" w:rsidP="00614826">
                        <w:pPr>
                          <w:snapToGrid w:val="0"/>
                          <w:spacing w:before="120" w:after="120"/>
                          <w:rPr>
                            <w:rFonts w:ascii="Georgia" w:hAnsi="Georgia"/>
                            <w:sz w:val="20"/>
                          </w:rPr>
                        </w:pPr>
                        <w:r w:rsidRPr="004051B0">
                          <w:rPr>
                            <w:rFonts w:ascii="Georgia" w:hAnsi="Georgia"/>
                            <w:sz w:val="20"/>
                          </w:rPr>
                          <w:t>Type of Action</w:t>
                        </w:r>
                      </w:p>
                    </w:tc>
                    <w:tc>
                      <w:tcPr>
                        <w:tcW w:w="1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20FA" w:rsidRPr="004051B0" w:rsidRDefault="00BA20FA" w:rsidP="00614826">
                        <w:pPr>
                          <w:tabs>
                            <w:tab w:val="left" w:pos="2685"/>
                            <w:tab w:val="center" w:pos="3537"/>
                          </w:tabs>
                          <w:snapToGrid w:val="0"/>
                          <w:spacing w:before="120" w:after="120"/>
                          <w:rPr>
                            <w:rFonts w:ascii="Georgia" w:hAnsi="Georgia"/>
                            <w:sz w:val="20"/>
                          </w:rPr>
                        </w:pPr>
                        <w:r>
                          <w:rPr>
                            <w:rFonts w:ascii="Georgia" w:hAnsi="Georgia"/>
                            <w:sz w:val="20"/>
                          </w:rPr>
                          <w:t>Internal Policy</w:t>
                        </w:r>
                      </w:p>
                    </w:tc>
                  </w:tr>
                  <w:tr w:rsidR="00BA20FA" w:rsidRPr="004051B0">
                    <w:tc>
                      <w:tcPr>
                        <w:tcW w:w="2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A20FA" w:rsidRPr="004051B0" w:rsidRDefault="00BA20FA" w:rsidP="00614826">
                        <w:pPr>
                          <w:snapToGrid w:val="0"/>
                          <w:spacing w:before="120" w:after="120"/>
                          <w:rPr>
                            <w:rFonts w:ascii="Georgia" w:hAnsi="Georgia"/>
                            <w:sz w:val="20"/>
                          </w:rPr>
                        </w:pPr>
                        <w:r w:rsidRPr="004051B0">
                          <w:rPr>
                            <w:rFonts w:ascii="Georgia" w:hAnsi="Georgia"/>
                            <w:sz w:val="20"/>
                          </w:rPr>
                          <w:t>Status/Result</w:t>
                        </w:r>
                      </w:p>
                    </w:tc>
                    <w:tc>
                      <w:tcPr>
                        <w:tcW w:w="1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20FA" w:rsidRPr="004051B0" w:rsidRDefault="00BA20FA" w:rsidP="00614826">
                        <w:pPr>
                          <w:snapToGrid w:val="0"/>
                          <w:spacing w:before="120" w:after="120"/>
                          <w:rPr>
                            <w:rFonts w:ascii="Georgia" w:hAnsi="Georgia"/>
                            <w:sz w:val="20"/>
                          </w:rPr>
                        </w:pPr>
                        <w:r>
                          <w:rPr>
                            <w:rFonts w:ascii="Georgia" w:hAnsi="Georgia"/>
                            <w:sz w:val="20"/>
                          </w:rPr>
                          <w:t>New</w:t>
                        </w:r>
                        <w:r w:rsidRPr="004051B0">
                          <w:rPr>
                            <w:rFonts w:ascii="Georgia" w:hAnsi="Georgia"/>
                            <w:sz w:val="20"/>
                          </w:rPr>
                          <w:t xml:space="preserve"> Business</w:t>
                        </w:r>
                      </w:p>
                    </w:tc>
                  </w:tr>
                </w:tbl>
                <w:p w:rsidR="00BA20FA" w:rsidRPr="004051B0" w:rsidRDefault="00BA20FA" w:rsidP="00BA20FA">
                  <w:pPr>
                    <w:rPr>
                      <w:rFonts w:ascii="Georgia" w:hAnsi="Georgia"/>
                    </w:rPr>
                  </w:pPr>
                </w:p>
              </w:txbxContent>
            </v:textbox>
            <w10:wrap type="tight" side="largest"/>
          </v:shape>
        </w:pict>
      </w:r>
      <w:r w:rsidR="00BA20FA" w:rsidRPr="004051B0">
        <w:rPr>
          <w:rFonts w:ascii="Georgia" w:hAnsi="Georg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-685800</wp:posOffset>
            </wp:positionV>
            <wp:extent cx="3175000" cy="990600"/>
            <wp:effectExtent l="25400" t="0" r="0" b="0"/>
            <wp:wrapNone/>
            <wp:docPr id="1" name="Picture 2" descr="Macintosh HD:Users:NewYorkCenterforLawandJustice:Downloads:ooa_sa:print:mac:OOA_SA_2line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ewYorkCenterforLawandJustice:Downloads:ooa_sa:print:mac:OOA_SA_2line_4c.ep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0FA" w:rsidRPr="004051B0" w:rsidRDefault="00BA20FA" w:rsidP="00BA20FA">
      <w:pPr>
        <w:jc w:val="center"/>
        <w:rPr>
          <w:rFonts w:ascii="Georgia" w:hAnsi="Georgia"/>
          <w:b/>
          <w:sz w:val="32"/>
        </w:rPr>
      </w:pPr>
    </w:p>
    <w:p w:rsidR="00BA20FA" w:rsidRPr="004051B0" w:rsidRDefault="00BA20FA" w:rsidP="00BA20FA">
      <w:pPr>
        <w:jc w:val="center"/>
        <w:rPr>
          <w:rFonts w:ascii="Georgia" w:hAnsi="Georgia"/>
          <w:b/>
          <w:sz w:val="32"/>
        </w:rPr>
      </w:pPr>
    </w:p>
    <w:p w:rsidR="00BA20FA" w:rsidRPr="004051B0" w:rsidRDefault="00BA20FA" w:rsidP="00BA20FA">
      <w:pPr>
        <w:jc w:val="center"/>
        <w:rPr>
          <w:rFonts w:ascii="Georgia" w:hAnsi="Georgia"/>
          <w:b/>
          <w:sz w:val="32"/>
        </w:rPr>
      </w:pPr>
      <w:r w:rsidRPr="004051B0">
        <w:rPr>
          <w:rFonts w:ascii="Georgia" w:hAnsi="Georgia"/>
          <w:b/>
          <w:sz w:val="32"/>
        </w:rPr>
        <w:t xml:space="preserve">S.A. Resolution # </w:t>
      </w:r>
      <w:r>
        <w:rPr>
          <w:rFonts w:ascii="Georgia" w:hAnsi="Georgia"/>
          <w:b/>
          <w:sz w:val="32"/>
        </w:rPr>
        <w:t>X</w:t>
      </w:r>
    </w:p>
    <w:p w:rsidR="00BA20FA" w:rsidRPr="004051B0" w:rsidRDefault="00BA20FA" w:rsidP="00BA20FA">
      <w:pPr>
        <w:jc w:val="center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t>Approval of Student Assembly Judicial Commission Charter &amp; Bylaws</w:t>
      </w:r>
    </w:p>
    <w:p w:rsidR="00BA20FA" w:rsidRPr="004051B0" w:rsidRDefault="00BA20FA" w:rsidP="00BA20FA">
      <w:pPr>
        <w:jc w:val="center"/>
        <w:rPr>
          <w:rFonts w:ascii="Georgia" w:hAnsi="Georgia"/>
        </w:rPr>
      </w:pPr>
    </w:p>
    <w:p w:rsidR="00BA20FA" w:rsidRPr="00C73405" w:rsidRDefault="00BA20FA" w:rsidP="00BA20FA">
      <w:pPr>
        <w:rPr>
          <w:rFonts w:ascii="Georgia" w:hAnsi="Georgia"/>
        </w:rPr>
      </w:pPr>
      <w:r w:rsidRPr="004051B0">
        <w:rPr>
          <w:rFonts w:ascii="Georgia" w:hAnsi="Georgia"/>
          <w:b/>
          <w:u w:val="single"/>
        </w:rPr>
        <w:t>Sponsored by</w:t>
      </w:r>
      <w:r w:rsidRPr="004051B0">
        <w:rPr>
          <w:rFonts w:ascii="Georgia" w:hAnsi="Georgia"/>
          <w:b/>
        </w:rPr>
        <w:t xml:space="preserve">: </w:t>
      </w:r>
      <w:r>
        <w:rPr>
          <w:rFonts w:ascii="Georgia" w:hAnsi="Georgia"/>
          <w:b/>
        </w:rPr>
        <w:t xml:space="preserve">Ulysses Smith </w:t>
      </w:r>
      <w:r w:rsidR="00C73405">
        <w:rPr>
          <w:rFonts w:ascii="Georgia" w:hAnsi="Georgia"/>
          <w:b/>
        </w:rPr>
        <w:t>’</w:t>
      </w:r>
      <w:r>
        <w:rPr>
          <w:rFonts w:ascii="Georgia" w:hAnsi="Georgia"/>
          <w:b/>
        </w:rPr>
        <w:t>13</w:t>
      </w:r>
      <w:r w:rsidR="00C73405">
        <w:rPr>
          <w:rFonts w:ascii="Georgia" w:hAnsi="Georgia"/>
          <w:b/>
        </w:rPr>
        <w:t xml:space="preserve">, </w:t>
      </w:r>
      <w:r w:rsidR="00844370">
        <w:rPr>
          <w:rFonts w:ascii="Georgia" w:hAnsi="Georgia"/>
          <w:b/>
        </w:rPr>
        <w:t xml:space="preserve">Jordan Berger ’17, Scott </w:t>
      </w:r>
      <w:proofErr w:type="spellStart"/>
      <w:r w:rsidR="00844370" w:rsidRPr="005100EE">
        <w:rPr>
          <w:rFonts w:ascii="Georgia" w:hAnsi="Georgia"/>
          <w:b/>
        </w:rPr>
        <w:t>Seidenberger</w:t>
      </w:r>
      <w:proofErr w:type="spellEnd"/>
      <w:r w:rsidR="00844370">
        <w:rPr>
          <w:rFonts w:ascii="Georgia" w:hAnsi="Georgia"/>
          <w:b/>
        </w:rPr>
        <w:t xml:space="preserve"> ‘16</w:t>
      </w:r>
    </w:p>
    <w:p w:rsidR="00BA20FA" w:rsidRPr="004051B0" w:rsidRDefault="00BA20FA" w:rsidP="00BA20FA">
      <w:pPr>
        <w:rPr>
          <w:rFonts w:ascii="Georgia" w:hAnsi="Georgia"/>
          <w:b/>
        </w:rPr>
      </w:pPr>
    </w:p>
    <w:p w:rsidR="00BA20FA" w:rsidRPr="004051B0" w:rsidRDefault="00BA20FA" w:rsidP="00BA20FA">
      <w:pPr>
        <w:rPr>
          <w:rFonts w:ascii="Georgia" w:hAnsi="Georgia"/>
        </w:rPr>
      </w:pPr>
    </w:p>
    <w:p w:rsidR="00BA20FA" w:rsidRPr="004051B0" w:rsidRDefault="00BA20FA" w:rsidP="00BA20FA">
      <w:pPr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>Whereas</w:t>
      </w:r>
      <w:r w:rsidRPr="004051B0">
        <w:rPr>
          <w:rFonts w:ascii="Georgia" w:hAnsi="Georgia"/>
          <w:bCs/>
        </w:rPr>
        <w:t xml:space="preserve">, the Student Assembly </w:t>
      </w:r>
      <w:r w:rsidR="008C709D">
        <w:rPr>
          <w:rFonts w:ascii="Georgia" w:hAnsi="Georgia"/>
          <w:bCs/>
        </w:rPr>
        <w:t>Judicial Commission is charged with safeguarding the integrity of the internal policies and procedures of the SA and providing a peer</w:t>
      </w:r>
      <w:r w:rsidR="00B42A75">
        <w:rPr>
          <w:rFonts w:ascii="Georgia" w:hAnsi="Georgia"/>
          <w:bCs/>
        </w:rPr>
        <w:t xml:space="preserve"> review method of dispute resolution</w:t>
      </w:r>
      <w:r>
        <w:rPr>
          <w:rFonts w:ascii="Georgia" w:hAnsi="Georgia"/>
          <w:bCs/>
        </w:rPr>
        <w:t>;</w:t>
      </w:r>
    </w:p>
    <w:p w:rsidR="00BA20FA" w:rsidRPr="004051B0" w:rsidRDefault="00BA20FA" w:rsidP="00BA20FA">
      <w:pPr>
        <w:ind w:left="720" w:hanging="720"/>
        <w:rPr>
          <w:rFonts w:ascii="Georgia" w:hAnsi="Georgia"/>
          <w:b/>
        </w:rPr>
      </w:pPr>
    </w:p>
    <w:p w:rsidR="00BA20FA" w:rsidRDefault="00BA20FA" w:rsidP="00BA20FA">
      <w:pPr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>Whereas,</w:t>
      </w:r>
      <w:r w:rsidRPr="004051B0">
        <w:rPr>
          <w:rFonts w:ascii="Georgia" w:hAnsi="Georgia"/>
          <w:bCs/>
        </w:rPr>
        <w:t xml:space="preserve"> </w:t>
      </w:r>
      <w:r w:rsidR="00B42A75">
        <w:rPr>
          <w:rFonts w:ascii="Georgia" w:hAnsi="Georgia"/>
          <w:bCs/>
        </w:rPr>
        <w:t>all governing documents of the SAJC and new commissioners must be approved by a majority vote of the SA</w:t>
      </w:r>
      <w:r>
        <w:rPr>
          <w:rFonts w:ascii="Georgia" w:hAnsi="Georgia"/>
          <w:bCs/>
        </w:rPr>
        <w:t>;</w:t>
      </w:r>
    </w:p>
    <w:p w:rsidR="00BA20FA" w:rsidRPr="004051B0" w:rsidRDefault="00BA20FA" w:rsidP="008C709D">
      <w:pPr>
        <w:rPr>
          <w:rFonts w:ascii="Georgia" w:hAnsi="Georgia"/>
          <w:bCs/>
        </w:rPr>
      </w:pPr>
    </w:p>
    <w:p w:rsidR="00BA20FA" w:rsidRDefault="00BA20FA" w:rsidP="00BA20FA">
      <w:pPr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>Be it therefore resolved,</w:t>
      </w:r>
      <w:r>
        <w:rPr>
          <w:rFonts w:ascii="Georgia" w:hAnsi="Georgia"/>
          <w:bCs/>
        </w:rPr>
        <w:t xml:space="preserve"> that the SA accept the attached Charter and Bylaws of the Student Assembly Judicial Commission.</w:t>
      </w:r>
    </w:p>
    <w:p w:rsidR="00BA20FA" w:rsidRDefault="00BA20FA" w:rsidP="00BA20FA">
      <w:pPr>
        <w:rPr>
          <w:rFonts w:ascii="Georgia" w:hAnsi="Georgia"/>
          <w:bCs/>
        </w:rPr>
      </w:pPr>
    </w:p>
    <w:p w:rsidR="00BA20FA" w:rsidRDefault="00BA20FA" w:rsidP="00BA20FA">
      <w:pPr>
        <w:ind w:left="720" w:hanging="720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 xml:space="preserve">Be it finally resolved, </w:t>
      </w:r>
      <w:r>
        <w:rPr>
          <w:rFonts w:ascii="Georgia" w:hAnsi="Georgia"/>
          <w:bCs/>
        </w:rPr>
        <w:t>that in the founding year two (2) of the commissioner</w:t>
      </w:r>
      <w:r w:rsidRPr="00BA20FA">
        <w:rPr>
          <w:rFonts w:ascii="Georgia" w:hAnsi="Georgia"/>
          <w:bCs/>
        </w:rPr>
        <w:t>s will serve terms endi</w:t>
      </w:r>
      <w:r w:rsidR="00010ED2">
        <w:rPr>
          <w:rFonts w:ascii="Georgia" w:hAnsi="Georgia"/>
          <w:bCs/>
        </w:rPr>
        <w:t>ng at the conclusion of the 2014-2015</w:t>
      </w:r>
      <w:r w:rsidRPr="00BA20FA">
        <w:rPr>
          <w:rFonts w:ascii="Georgia" w:hAnsi="Georgia"/>
          <w:bCs/>
        </w:rPr>
        <w:t xml:space="preserve"> academic year, and two (2) of the </w:t>
      </w:r>
      <w:bookmarkStart w:id="0" w:name="_GoBack"/>
      <w:bookmarkEnd w:id="0"/>
      <w:r>
        <w:rPr>
          <w:rFonts w:ascii="Georgia" w:hAnsi="Georgia"/>
          <w:bCs/>
        </w:rPr>
        <w:t xml:space="preserve">commissioners </w:t>
      </w:r>
      <w:r w:rsidRPr="00BA20FA">
        <w:rPr>
          <w:rFonts w:ascii="Georgia" w:hAnsi="Georgia"/>
          <w:bCs/>
        </w:rPr>
        <w:t>will serve terms endi</w:t>
      </w:r>
      <w:r w:rsidR="00010ED2">
        <w:rPr>
          <w:rFonts w:ascii="Georgia" w:hAnsi="Georgia"/>
          <w:bCs/>
        </w:rPr>
        <w:t>ng at the conclusion of the 2015-2016</w:t>
      </w:r>
      <w:r w:rsidRPr="00BA20FA">
        <w:rPr>
          <w:rFonts w:ascii="Georgia" w:hAnsi="Georgia"/>
          <w:bCs/>
        </w:rPr>
        <w:t xml:space="preserve"> academic year.</w:t>
      </w:r>
    </w:p>
    <w:p w:rsidR="00BA20FA" w:rsidRDefault="00BA20FA" w:rsidP="00BA20FA"/>
    <w:p w:rsidR="00BA20FA" w:rsidRPr="004051B0" w:rsidRDefault="00BA20FA" w:rsidP="00BA20FA">
      <w:pPr>
        <w:ind w:left="720" w:hanging="720"/>
        <w:rPr>
          <w:rFonts w:ascii="Georgia" w:hAnsi="Georgia"/>
          <w:bCs/>
        </w:rPr>
      </w:pPr>
    </w:p>
    <w:p w:rsidR="00BA20FA" w:rsidRPr="004051B0" w:rsidRDefault="00BA20FA" w:rsidP="00BA20FA">
      <w:pPr>
        <w:outlineLvl w:val="0"/>
        <w:rPr>
          <w:rFonts w:ascii="Georgia" w:hAnsi="Georgia"/>
          <w:b/>
        </w:rPr>
      </w:pPr>
      <w:r w:rsidRPr="004051B0">
        <w:rPr>
          <w:rFonts w:ascii="Georgia" w:hAnsi="Georgia"/>
          <w:b/>
        </w:rPr>
        <w:t>Respectfully Submitted,</w:t>
      </w:r>
    </w:p>
    <w:p w:rsidR="00BA20FA" w:rsidRDefault="00BA20FA" w:rsidP="00BA20FA">
      <w:pPr>
        <w:rPr>
          <w:rFonts w:ascii="Georgia" w:hAnsi="Georgia"/>
        </w:rPr>
        <w:sectPr w:rsidR="00BA20FA" w:rsidSect="00614826">
          <w:footerReference w:type="default" r:id="rId8"/>
          <w:pgSz w:w="12240" w:h="15840"/>
          <w:pgMar w:top="1440" w:right="1440" w:bottom="1440" w:left="1440" w:header="720" w:footer="720" w:gutter="0"/>
          <w:cols w:space="720"/>
        </w:sectPr>
      </w:pPr>
    </w:p>
    <w:p w:rsidR="00BA20FA" w:rsidRDefault="00BA20FA" w:rsidP="00BA20FA">
      <w:pPr>
        <w:rPr>
          <w:rFonts w:ascii="Georgia" w:hAnsi="Georgia"/>
        </w:rPr>
      </w:pPr>
    </w:p>
    <w:p w:rsidR="00BA20FA" w:rsidRPr="00777205" w:rsidRDefault="00BA20FA" w:rsidP="00BA20FA">
      <w:pPr>
        <w:rPr>
          <w:rFonts w:ascii="Georgia" w:hAnsi="Georgia"/>
        </w:rPr>
        <w:sectPr w:rsidR="00BA20FA" w:rsidRPr="00777205" w:rsidSect="00777205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777205">
        <w:rPr>
          <w:rFonts w:ascii="Georgia" w:hAnsi="Georgia"/>
        </w:rPr>
        <w:t>Ulysses Smith</w:t>
      </w:r>
      <w:r>
        <w:rPr>
          <w:rFonts w:ascii="Georgia" w:hAnsi="Georgia"/>
        </w:rPr>
        <w:t xml:space="preserve"> ‘13</w:t>
      </w:r>
    </w:p>
    <w:p w:rsidR="00BA20FA" w:rsidRDefault="00BA20FA" w:rsidP="00BA20FA">
      <w:pPr>
        <w:outlineLvl w:val="0"/>
        <w:rPr>
          <w:rFonts w:ascii="Georgia" w:hAnsi="Georgia"/>
          <w:i/>
        </w:rPr>
      </w:pPr>
      <w:r>
        <w:rPr>
          <w:rFonts w:ascii="Georgia" w:hAnsi="Georgia"/>
          <w:i/>
        </w:rPr>
        <w:lastRenderedPageBreak/>
        <w:t>President, Student Assembly</w:t>
      </w:r>
    </w:p>
    <w:p w:rsidR="00BA20FA" w:rsidRDefault="00BA20FA" w:rsidP="00BA20FA">
      <w:pPr>
        <w:outlineLvl w:val="0"/>
        <w:rPr>
          <w:rFonts w:ascii="Georgia" w:hAnsi="Georgia"/>
          <w:i/>
        </w:rPr>
      </w:pPr>
    </w:p>
    <w:p w:rsidR="00BA20FA" w:rsidRDefault="00BA20FA" w:rsidP="00BA20FA">
      <w:pPr>
        <w:outlineLvl w:val="0"/>
        <w:rPr>
          <w:rFonts w:ascii="Georgia" w:hAnsi="Georgia"/>
        </w:rPr>
      </w:pPr>
      <w:r>
        <w:rPr>
          <w:rFonts w:ascii="Georgia" w:hAnsi="Georgia"/>
        </w:rPr>
        <w:t>Jordan Berger ‘17</w:t>
      </w:r>
    </w:p>
    <w:p w:rsidR="00BA20FA" w:rsidRDefault="00BA20FA" w:rsidP="00BA20FA">
      <w:pPr>
        <w:outlineLvl w:val="0"/>
        <w:rPr>
          <w:rFonts w:ascii="Georgia" w:hAnsi="Georgia"/>
          <w:i/>
        </w:rPr>
      </w:pPr>
      <w:r>
        <w:rPr>
          <w:rFonts w:ascii="Georgia" w:hAnsi="Georgia"/>
          <w:i/>
        </w:rPr>
        <w:t>Parliamentarian, Student Assembly</w:t>
      </w:r>
    </w:p>
    <w:p w:rsidR="00BA20FA" w:rsidRDefault="00BA20FA" w:rsidP="00BA20FA">
      <w:pPr>
        <w:outlineLvl w:val="0"/>
        <w:rPr>
          <w:rFonts w:ascii="Georgia" w:hAnsi="Georgia"/>
          <w:i/>
        </w:rPr>
      </w:pPr>
    </w:p>
    <w:p w:rsidR="00BA20FA" w:rsidRDefault="00BA20FA" w:rsidP="00BA20FA">
      <w:pPr>
        <w:outlineLvl w:val="0"/>
        <w:rPr>
          <w:rFonts w:ascii="Georgia" w:hAnsi="Georgia"/>
        </w:rPr>
      </w:pPr>
      <w:r>
        <w:rPr>
          <w:rFonts w:ascii="Georgia" w:hAnsi="Georgia"/>
        </w:rPr>
        <w:t xml:space="preserve">Scott </w:t>
      </w:r>
      <w:proofErr w:type="spellStart"/>
      <w:r w:rsidRPr="00777205">
        <w:rPr>
          <w:rFonts w:ascii="Georgia" w:hAnsi="Georgia"/>
        </w:rPr>
        <w:t>Seidenberger</w:t>
      </w:r>
      <w:proofErr w:type="spellEnd"/>
      <w:r>
        <w:rPr>
          <w:rFonts w:ascii="Georgia" w:hAnsi="Georgia"/>
        </w:rPr>
        <w:t xml:space="preserve"> ‘16</w:t>
      </w:r>
    </w:p>
    <w:p w:rsidR="00BA20FA" w:rsidRPr="00777205" w:rsidRDefault="00BA20FA" w:rsidP="00BA20FA">
      <w:pPr>
        <w:outlineLvl w:val="0"/>
        <w:rPr>
          <w:rFonts w:ascii="Georgia" w:hAnsi="Georgia"/>
          <w:i/>
        </w:rPr>
      </w:pPr>
      <w:r>
        <w:rPr>
          <w:rFonts w:ascii="Georgia" w:hAnsi="Georgia"/>
          <w:i/>
        </w:rPr>
        <w:t>Judicial Affairs Task Force, SA Community Life Committee</w:t>
      </w:r>
    </w:p>
    <w:p w:rsidR="00BA20FA" w:rsidRDefault="00BA20FA" w:rsidP="00BA20FA">
      <w:pPr>
        <w:outlineLvl w:val="0"/>
        <w:rPr>
          <w:rFonts w:ascii="Georgia" w:hAnsi="Georgia"/>
          <w:i/>
        </w:rPr>
        <w:sectPr w:rsidR="00BA20FA" w:rsidSect="00BA20F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BA20FA" w:rsidRDefault="00BA20FA" w:rsidP="00BA20FA">
      <w:pPr>
        <w:outlineLvl w:val="0"/>
        <w:rPr>
          <w:rFonts w:ascii="Georgia" w:hAnsi="Georgia"/>
          <w:i/>
        </w:rPr>
      </w:pPr>
    </w:p>
    <w:p w:rsidR="00BA20FA" w:rsidRPr="004051B0" w:rsidRDefault="00BA20FA" w:rsidP="00BA20FA">
      <w:pPr>
        <w:outlineLvl w:val="0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Reviewed by: </w:t>
      </w:r>
    </w:p>
    <w:p w:rsidR="00BA20FA" w:rsidRPr="004051B0" w:rsidRDefault="00BA20FA" w:rsidP="00BA20FA">
      <w:pPr>
        <w:rPr>
          <w:rFonts w:ascii="Georgia" w:hAnsi="Georgia"/>
        </w:rPr>
      </w:pPr>
    </w:p>
    <w:p w:rsidR="00F00F23" w:rsidRDefault="0006666B"/>
    <w:sectPr w:rsidR="00F00F23" w:rsidSect="00AC1E8E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66B" w:rsidRDefault="0006666B" w:rsidP="007D65B8">
      <w:r>
        <w:separator/>
      </w:r>
    </w:p>
  </w:endnote>
  <w:endnote w:type="continuationSeparator" w:id="0">
    <w:p w:rsidR="0006666B" w:rsidRDefault="0006666B" w:rsidP="007D6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A15" w:rsidRPr="004051B0" w:rsidRDefault="000E7E49">
    <w:pPr>
      <w:pStyle w:val="Footer"/>
      <w:pBdr>
        <w:bottom w:val="single" w:sz="12" w:space="1" w:color="auto"/>
      </w:pBdr>
      <w:rPr>
        <w:rFonts w:ascii="Georgia" w:hAnsi="Georgia"/>
        <w:i/>
        <w:sz w:val="20"/>
      </w:rPr>
    </w:pP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</w:p>
  <w:p w:rsidR="00B1764B" w:rsidRPr="004051B0" w:rsidRDefault="000E7E49" w:rsidP="00B1764B">
    <w:pPr>
      <w:pStyle w:val="Footer"/>
      <w:rPr>
        <w:rFonts w:ascii="Georgia" w:hAnsi="Georgia"/>
        <w:i/>
        <w:sz w:val="20"/>
      </w:rPr>
    </w:pP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b/>
        <w:i/>
        <w:sz w:val="20"/>
      </w:rPr>
      <w:t xml:space="preserve">Cornell University Student Assembly </w:t>
    </w:r>
    <w:r w:rsidRPr="004051B0">
      <w:rPr>
        <w:rFonts w:ascii="Georgia" w:hAnsi="Georgia"/>
        <w:sz w:val="20"/>
      </w:rPr>
      <w:sym w:font="Symbol" w:char="F0BD"/>
    </w:r>
    <w:r w:rsidRPr="004051B0">
      <w:rPr>
        <w:rFonts w:ascii="Georgia" w:hAnsi="Georgia"/>
        <w:b/>
        <w:i/>
        <w:sz w:val="20"/>
      </w:rPr>
      <w:t>www.CornellSA.com</w:t>
    </w:r>
  </w:p>
  <w:p w:rsidR="00614826" w:rsidRPr="004051B0" w:rsidRDefault="000E7E49">
    <w:pPr>
      <w:pStyle w:val="Footer"/>
      <w:rPr>
        <w:rFonts w:ascii="Georgia" w:hAnsi="Georgia"/>
        <w:i/>
        <w:sz w:val="20"/>
      </w:rPr>
    </w:pPr>
    <w:r w:rsidRPr="004051B0">
      <w:rPr>
        <w:rFonts w:ascii="Georgia" w:hAnsi="Georgia"/>
        <w:i/>
        <w:sz w:val="20"/>
      </w:rPr>
      <w:t xml:space="preserve">Stay Informed. Get Involved. Make a Difference.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66B" w:rsidRDefault="0006666B" w:rsidP="007D65B8">
      <w:r>
        <w:separator/>
      </w:r>
    </w:p>
  </w:footnote>
  <w:footnote w:type="continuationSeparator" w:id="0">
    <w:p w:rsidR="0006666B" w:rsidRDefault="0006666B" w:rsidP="007D6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3110"/>
    <w:multiLevelType w:val="multilevel"/>
    <w:tmpl w:val="E77E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0FA"/>
    <w:rsid w:val="00010ED2"/>
    <w:rsid w:val="0006666B"/>
    <w:rsid w:val="000E7E49"/>
    <w:rsid w:val="00297A6B"/>
    <w:rsid w:val="004F7669"/>
    <w:rsid w:val="007D65B8"/>
    <w:rsid w:val="00844370"/>
    <w:rsid w:val="008C709D"/>
    <w:rsid w:val="00B42A75"/>
    <w:rsid w:val="00BA20FA"/>
    <w:rsid w:val="00C73405"/>
    <w:rsid w:val="00CC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20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20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Ulysses</dc:creator>
  <cp:lastModifiedBy>Ulysses</cp:lastModifiedBy>
  <cp:revision>3</cp:revision>
  <dcterms:created xsi:type="dcterms:W3CDTF">2014-02-10T00:27:00Z</dcterms:created>
  <dcterms:modified xsi:type="dcterms:W3CDTF">2014-02-12T18:27:00Z</dcterms:modified>
</cp:coreProperties>
</file>